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37" w:rsidRDefault="00AF6A29" w:rsidP="0023456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</w:pPr>
      <w:r w:rsidRPr="007D4E1A"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  <w:t>IAF – Directing committee</w:t>
      </w:r>
    </w:p>
    <w:p w:rsidR="00643A37" w:rsidRDefault="00643A37" w:rsidP="0023456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</w:pPr>
    </w:p>
    <w:p w:rsidR="00AF6A29" w:rsidRPr="007D4E1A" w:rsidRDefault="00643A37" w:rsidP="0023456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  <w:t>C</w:t>
      </w:r>
      <w:r w:rsidR="00AF6A29" w:rsidRPr="007D4E1A"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  <w:t xml:space="preserve">onflict of </w:t>
      </w:r>
      <w:r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  <w:t>i</w:t>
      </w:r>
      <w:r w:rsidR="00AF6A29" w:rsidRPr="007D4E1A">
        <w:rPr>
          <w:rFonts w:ascii="Arial" w:hAnsi="Arial" w:cs="Arial"/>
          <w:b/>
          <w:bCs/>
          <w:color w:val="333333"/>
          <w:kern w:val="36"/>
          <w:sz w:val="32"/>
          <w:szCs w:val="32"/>
          <w:lang w:val="en-GB"/>
        </w:rPr>
        <w:t>nterest rules</w:t>
      </w:r>
    </w:p>
    <w:p w:rsidR="00455740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  <w:r w:rsidRPr="002D5AFD">
        <w:rPr>
          <w:rFonts w:ascii="Arial" w:hAnsi="Arial" w:cs="Arial"/>
          <w:color w:val="222222"/>
          <w:sz w:val="21"/>
          <w:szCs w:val="21"/>
          <w:lang w:val="en-GB"/>
        </w:rPr>
        <w:br/>
      </w:r>
      <w:r w:rsidR="00234561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On July 24, 2019, t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he </w:t>
      </w:r>
      <w:r w:rsidR="00AF6A29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International Aikido Federation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(</w:t>
      </w:r>
      <w:r w:rsidR="00C40933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“</w:t>
      </w:r>
      <w:r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I</w:t>
      </w:r>
      <w:r w:rsidR="00AF6A29" w:rsidRPr="0029783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AF</w:t>
      </w:r>
      <w:r w:rsidR="00C40933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”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) </w:t>
      </w:r>
      <w:r w:rsidR="00AF6A29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Directing Committee (</w:t>
      </w:r>
      <w:r w:rsidR="00C40933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“</w:t>
      </w:r>
      <w:r w:rsidR="00AF6A29" w:rsidRPr="0029783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DC</w:t>
      </w:r>
      <w:r w:rsidR="00C40933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”</w:t>
      </w:r>
      <w:r w:rsidR="00AF6A29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) 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adopted </w:t>
      </w:r>
      <w:r w:rsidR="00AF6A29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the following 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rules concerning conflict of interest</w:t>
      </w:r>
      <w:r w:rsidR="00AF6A29" w:rsidRPr="00297831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.</w:t>
      </w:r>
    </w:p>
    <w:p w:rsidR="00AB6E34" w:rsidRPr="006512EA" w:rsidRDefault="00AB6E34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455740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</w:pPr>
      <w:r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Article 1: Scope of Application</w:t>
      </w:r>
      <w:bookmarkStart w:id="0" w:name="_GoBack"/>
      <w:bookmarkEnd w:id="0"/>
    </w:p>
    <w:p w:rsidR="00AB6E34" w:rsidRPr="007D4E1A" w:rsidRDefault="00AB6E34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455740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Th</w:t>
      </w:r>
      <w:r w:rsidR="00643A37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e present rules are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applicable to </w:t>
      </w:r>
      <w:r w:rsidR="00AF6A29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all DC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</w:t>
      </w:r>
      <w:r w:rsidR="00AF6A29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members, as </w:t>
      </w:r>
      <w:r w:rsidR="00C40933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currently </w:t>
      </w:r>
      <w:r w:rsidR="00AF6A29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defined under Article 11.2 a) to f) of the IAF Statutes, and to any person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entrusted by the DC with 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actual decision-making power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on a matter </w:t>
      </w:r>
      <w:r w:rsidR="00BA28EF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that lies within the scope of authority </w:t>
      </w:r>
      <w:r w:rsidR="00B866AE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or supervision </w:t>
      </w:r>
      <w:r w:rsidR="00BA28EF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of the DC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(hereafter </w:t>
      </w:r>
      <w:r w:rsidR="00BA28EF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individually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referred to as a “</w:t>
      </w:r>
      <w:r w:rsidR="00B866AE" w:rsidRPr="00643A3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Person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”)</w:t>
      </w:r>
      <w:r w:rsidRPr="002D5AFD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.</w:t>
      </w:r>
    </w:p>
    <w:p w:rsidR="00455740" w:rsidRDefault="005E3FF2" w:rsidP="0045574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</w:t>
      </w:r>
      <w:r w:rsidR="002D5AFD" w:rsidRPr="002D5AFD">
        <w:rPr>
          <w:rFonts w:ascii="Arial" w:hAnsi="Arial" w:cs="Arial"/>
          <w:color w:val="222222"/>
          <w:sz w:val="21"/>
          <w:szCs w:val="21"/>
          <w:lang w:val="en-GB"/>
        </w:rPr>
        <w:br/>
      </w:r>
      <w:r w:rsidR="002D5AFD"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Article 2: Definition</w:t>
      </w:r>
    </w:p>
    <w:p w:rsidR="00AB6E34" w:rsidRPr="007D4E1A" w:rsidRDefault="00AB6E34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5E3FF2" w:rsidRPr="007D4E1A" w:rsidRDefault="00C40933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“</w:t>
      </w:r>
      <w:r w:rsidR="005E3FF2" w:rsidRP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C</w:t>
      </w:r>
      <w:r w:rsidR="002D5AFD"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 xml:space="preserve">onflict of </w:t>
      </w:r>
      <w:r w:rsidR="00994B36" w:rsidRP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I</w:t>
      </w:r>
      <w:r w:rsidR="002D5AFD"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nterest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”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</w:t>
      </w:r>
      <w:r w:rsidR="00B866AE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means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a situation where </w:t>
      </w:r>
      <w:r w:rsidR="00BA28EF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a </w:t>
      </w:r>
      <w:r w:rsidR="00B866AE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Person</w:t>
      </w:r>
      <w:r w:rsidR="00BA28EF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has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a direct or indirect interest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, whether financial</w:t>
      </w:r>
      <w:r w:rsidR="0074608D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(including but not limited to private inurement or personal benefit)</w:t>
      </w:r>
      <w:r w:rsidR="00994B36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or otherwise,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that conflicts </w:t>
      </w:r>
      <w:r w:rsidR="00994B36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or may conflict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with 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the interest of the IAF in relation to a decision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or transaction that lies within the scope of 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his/her 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authorit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y</w:t>
      </w:r>
      <w:r w:rsidR="005E3FF2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.</w:t>
      </w:r>
    </w:p>
    <w:p w:rsidR="00AB6E34" w:rsidRPr="007D4E1A" w:rsidRDefault="00AB6E34" w:rsidP="0045574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</w:pPr>
    </w:p>
    <w:p w:rsidR="0074608D" w:rsidRPr="007D4E1A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</w:pPr>
      <w:r w:rsidRPr="002D5AF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 xml:space="preserve">Article 3: </w:t>
      </w:r>
      <w:r w:rsidR="0074608D" w:rsidRP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Guidelines and examples</w:t>
      </w:r>
    </w:p>
    <w:p w:rsidR="0074608D" w:rsidRPr="007D4E1A" w:rsidRDefault="0074608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74608D" w:rsidRPr="007D4E1A" w:rsidRDefault="0074608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Without limitation to Article 2, the following guidelines are provided to help assess</w:t>
      </w:r>
      <w:r w:rsidR="007A19F7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ing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whether there is a Conflict of Interest:</w:t>
      </w:r>
    </w:p>
    <w:p w:rsidR="0074608D" w:rsidRPr="007D4E1A" w:rsidRDefault="0074608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74608D" w:rsidRPr="007D4E1A" w:rsidRDefault="0074608D" w:rsidP="00455740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lang w:val="en-GB" w:eastAsia="fr-FR"/>
        </w:rPr>
      </w:pP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a Person (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acting alone or within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a body or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an organisation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) shall be deemed to have a Conflict of Interest if he/she is in a 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situation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where his/her 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opinion or decision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may be reasonably considered as liable to be influenced by relations that </w:t>
      </w:r>
      <w:r w:rsidR="00455740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said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P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erson has or is on the point of having with one or more natural or legal persons that would be affected by his/her judgement or decision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;</w:t>
      </w:r>
      <w:r w:rsidRPr="002D5AFD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br/>
      </w:r>
    </w:p>
    <w:p w:rsidR="00AB6E34" w:rsidRPr="007D4E1A" w:rsidRDefault="0074608D" w:rsidP="00455740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lang w:val="en-GB" w:eastAsia="fr-FR"/>
        </w:rPr>
      </w:pP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direct as well as indirect interests must be taken into account. This includes</w:t>
      </w:r>
      <w:r w:rsidR="00AB6E34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(without limitation to the generality of the foregoing):</w:t>
      </w:r>
    </w:p>
    <w:p w:rsidR="00AB6E34" w:rsidRPr="007D4E1A" w:rsidRDefault="00AB6E34" w:rsidP="00455740">
      <w:pPr>
        <w:pStyle w:val="Paragraphedeliste"/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lang w:val="en-GB" w:eastAsia="fr-FR"/>
        </w:rPr>
      </w:pPr>
    </w:p>
    <w:p w:rsidR="0074608D" w:rsidRPr="007D4E1A" w:rsidRDefault="0074608D" w:rsidP="00455740">
      <w:pPr>
        <w:pStyle w:val="Paragraphedeliste"/>
        <w:numPr>
          <w:ilvl w:val="0"/>
          <w:numId w:val="4"/>
        </w:numPr>
        <w:shd w:val="clear" w:color="auto" w:fill="FFFFFF"/>
        <w:ind w:left="1134" w:hanging="414"/>
        <w:jc w:val="both"/>
        <w:outlineLvl w:val="0"/>
        <w:rPr>
          <w:rFonts w:ascii="Times New Roman" w:eastAsia="Times New Roman" w:hAnsi="Times New Roman" w:cs="Times New Roman"/>
          <w:lang w:val="en-GB" w:eastAsia="fr-FR"/>
        </w:rPr>
      </w:pP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the interests of a third person (e.g. parent, partner, relation or dependent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of the Person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)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;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br/>
      </w:r>
    </w:p>
    <w:p w:rsidR="0074608D" w:rsidRPr="007D4E1A" w:rsidRDefault="00AB6E34" w:rsidP="00455740">
      <w:pPr>
        <w:pStyle w:val="Paragraphedeliste"/>
        <w:numPr>
          <w:ilvl w:val="0"/>
          <w:numId w:val="4"/>
        </w:numPr>
        <w:shd w:val="clear" w:color="auto" w:fill="FFFFFF"/>
        <w:ind w:left="1134" w:hanging="414"/>
        <w:jc w:val="both"/>
        <w:outlineLvl w:val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</w:pP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p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ersonal and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/or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material involvement 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of any kind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(salary, </w:t>
      </w:r>
      <w:r w:rsidR="00416A38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remuneration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,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various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benefits, etc.) 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with suppliers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, 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sponsors, broadcasters, various contracting parties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;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br/>
      </w:r>
    </w:p>
    <w:p w:rsidR="00234561" w:rsidRPr="007D4E1A" w:rsidRDefault="00AB6E34" w:rsidP="00455740">
      <w:pPr>
        <w:pStyle w:val="Paragraphedeliste"/>
        <w:numPr>
          <w:ilvl w:val="0"/>
          <w:numId w:val="4"/>
        </w:numPr>
        <w:shd w:val="clear" w:color="auto" w:fill="FFFFFF"/>
        <w:ind w:left="1134" w:hanging="414"/>
        <w:jc w:val="both"/>
        <w:outlineLvl w:val="0"/>
        <w:rPr>
          <w:rFonts w:ascii="Times New Roman" w:eastAsia="Times New Roman" w:hAnsi="Times New Roman" w:cs="Times New Roman"/>
          <w:lang w:val="en-GB" w:eastAsia="fr-FR"/>
        </w:rPr>
      </w:pP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p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ersonal and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>/or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material</w:t>
      </w:r>
      <w:r w:rsidR="0074608D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involvement 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of any kind 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(salary, commission, shareholding, various benefits, etc.) </w:t>
      </w:r>
      <w:r w:rsidRPr="007D4E1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GB" w:eastAsia="fr-FR"/>
        </w:rPr>
        <w:t xml:space="preserve"> 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with a</w:t>
      </w:r>
      <w:r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 person or 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 xml:space="preserve">organisation liable to benefit from the assistance of </w:t>
      </w:r>
      <w:r w:rsidR="00745730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the IAF</w:t>
      </w:r>
      <w:r w:rsidR="00234561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t>.</w:t>
      </w:r>
      <w:r w:rsidR="002D5AFD" w:rsidRPr="007D4E1A">
        <w:rPr>
          <w:rFonts w:ascii="Arial" w:eastAsia="Times New Roman" w:hAnsi="Arial" w:cs="Arial"/>
          <w:color w:val="222222"/>
          <w:sz w:val="21"/>
          <w:szCs w:val="21"/>
          <w:lang w:val="en-GB" w:eastAsia="fr-FR"/>
        </w:rPr>
        <w:br/>
      </w:r>
    </w:p>
    <w:p w:rsidR="00455740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</w:pPr>
      <w:r w:rsidRP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 xml:space="preserve">Article 4: </w:t>
      </w:r>
      <w:r w:rsid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 xml:space="preserve">Conflict of Interest </w:t>
      </w:r>
      <w:r w:rsidR="0045574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a</w:t>
      </w:r>
      <w:r w:rsidR="007D4E1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GB"/>
        </w:rPr>
        <w:t>voidance</w:t>
      </w:r>
    </w:p>
    <w:p w:rsidR="00AB6E34" w:rsidRPr="007D4E1A" w:rsidRDefault="00AB6E34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</w:p>
    <w:p w:rsidR="007D4E1A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Any </w:t>
      </w:r>
      <w:r w:rsidR="00AB6E34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P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erson in a situation where a </w:t>
      </w:r>
      <w:r w:rsidR="00AB6E34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C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onflict of </w:t>
      </w:r>
      <w:r w:rsidR="00AB6E34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I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nterests exists </w:t>
      </w:r>
      <w:r w:rsid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or may exist 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must </w:t>
      </w:r>
      <w:r w:rsid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immediately (and prior to any decision or vote) </w:t>
      </w:r>
      <w:r w:rsidR="007D4E1A"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declare the situation </w:t>
      </w:r>
      <w:r w:rsid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in writing to the Chairman of the DC or, if the Chairman is the concerned Person, to the Vice-chairman of the DC</w:t>
      </w:r>
      <w:r w:rsidRPr="007D4E1A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.</w:t>
      </w:r>
    </w:p>
    <w:p w:rsidR="007D4E1A" w:rsidRDefault="002D5AFD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lang w:val="en-GB"/>
        </w:rPr>
        <w:br/>
      </w:r>
      <w:r w:rsidR="007D4E1A"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It is the personal responsibility of each </w:t>
      </w:r>
      <w:r w:rsidR="007D4E1A">
        <w:rPr>
          <w:rFonts w:ascii="Arial" w:hAnsi="Arial" w:cs="Arial"/>
          <w:color w:val="222222"/>
          <w:sz w:val="21"/>
          <w:szCs w:val="21"/>
          <w:lang w:val="en-GB"/>
        </w:rPr>
        <w:t>P</w:t>
      </w:r>
      <w:r w:rsidR="007D4E1A"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erson to avoid situations where a </w:t>
      </w:r>
      <w:r w:rsidR="007D4E1A">
        <w:rPr>
          <w:rFonts w:ascii="Arial" w:hAnsi="Arial" w:cs="Arial"/>
          <w:color w:val="222222"/>
          <w:sz w:val="21"/>
          <w:szCs w:val="21"/>
          <w:lang w:val="en-GB"/>
        </w:rPr>
        <w:t>C</w:t>
      </w:r>
      <w:r w:rsidR="007D4E1A"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onflict of </w:t>
      </w:r>
      <w:r w:rsidR="007D4E1A">
        <w:rPr>
          <w:rFonts w:ascii="Arial" w:hAnsi="Arial" w:cs="Arial"/>
          <w:color w:val="222222"/>
          <w:sz w:val="21"/>
          <w:szCs w:val="21"/>
          <w:lang w:val="en-GB"/>
        </w:rPr>
        <w:t>I</w:t>
      </w:r>
      <w:r w:rsidR="007D4E1A"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nterest exists. </w:t>
      </w:r>
    </w:p>
    <w:p w:rsidR="007D4E1A" w:rsidRDefault="007D4E1A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lang w:val="en-GB"/>
        </w:rPr>
      </w:pPr>
    </w:p>
    <w:p w:rsidR="008D2420" w:rsidRDefault="007D4E1A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lang w:val="en-GB"/>
        </w:rPr>
      </w:pPr>
      <w:r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The IAF reserves </w:t>
      </w:r>
      <w:r>
        <w:rPr>
          <w:rFonts w:ascii="Arial" w:hAnsi="Arial" w:cs="Arial"/>
          <w:color w:val="222222"/>
          <w:sz w:val="21"/>
          <w:szCs w:val="21"/>
          <w:lang w:val="en-GB"/>
        </w:rPr>
        <w:t>the</w:t>
      </w:r>
      <w:r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 right</w:t>
      </w:r>
      <w:r>
        <w:rPr>
          <w:rFonts w:ascii="Arial" w:hAnsi="Arial" w:cs="Arial"/>
          <w:color w:val="222222"/>
          <w:sz w:val="21"/>
          <w:szCs w:val="21"/>
          <w:lang w:val="en-GB"/>
        </w:rPr>
        <w:t xml:space="preserve"> to take actions</w:t>
      </w:r>
      <w:r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 against </w:t>
      </w:r>
      <w:r>
        <w:rPr>
          <w:rFonts w:ascii="Arial" w:hAnsi="Arial" w:cs="Arial"/>
          <w:color w:val="222222"/>
          <w:sz w:val="21"/>
          <w:szCs w:val="21"/>
          <w:lang w:val="en-GB"/>
        </w:rPr>
        <w:t>any Person who n</w:t>
      </w:r>
      <w:r w:rsidRPr="007D4E1A">
        <w:rPr>
          <w:rFonts w:ascii="Arial" w:hAnsi="Arial" w:cs="Arial"/>
          <w:color w:val="222222"/>
          <w:sz w:val="21"/>
          <w:szCs w:val="21"/>
          <w:lang w:val="en-GB"/>
        </w:rPr>
        <w:t>eglect</w:t>
      </w:r>
      <w:r>
        <w:rPr>
          <w:rFonts w:ascii="Arial" w:hAnsi="Arial" w:cs="Arial"/>
          <w:color w:val="222222"/>
          <w:sz w:val="21"/>
          <w:szCs w:val="21"/>
          <w:lang w:val="en-GB"/>
        </w:rPr>
        <w:t>s</w:t>
      </w:r>
      <w:r w:rsidRPr="007D4E1A">
        <w:rPr>
          <w:rFonts w:ascii="Arial" w:hAnsi="Arial" w:cs="Arial"/>
          <w:color w:val="222222"/>
          <w:sz w:val="21"/>
          <w:szCs w:val="21"/>
          <w:lang w:val="en-GB"/>
        </w:rPr>
        <w:t xml:space="preserve"> to declare </w:t>
      </w:r>
      <w:r>
        <w:rPr>
          <w:rFonts w:ascii="Arial" w:hAnsi="Arial" w:cs="Arial"/>
          <w:color w:val="222222"/>
          <w:sz w:val="21"/>
          <w:szCs w:val="21"/>
          <w:lang w:val="en-GB"/>
        </w:rPr>
        <w:t>a Conflict of Interest as provided above</w:t>
      </w:r>
      <w:r w:rsidRPr="007D4E1A">
        <w:rPr>
          <w:rFonts w:ascii="Arial" w:hAnsi="Arial" w:cs="Arial"/>
          <w:color w:val="222222"/>
          <w:sz w:val="21"/>
          <w:szCs w:val="21"/>
          <w:lang w:val="en-GB"/>
        </w:rPr>
        <w:t>.</w:t>
      </w:r>
    </w:p>
    <w:p w:rsidR="007A7F20" w:rsidRDefault="007A7F20" w:rsidP="00455740">
      <w:pP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lang w:val="en-GB"/>
        </w:rPr>
      </w:pPr>
    </w:p>
    <w:p w:rsidR="007A7F20" w:rsidRDefault="007A7F20" w:rsidP="00455740">
      <w:pPr>
        <w:pBdr>
          <w:bottom w:val="single" w:sz="6" w:space="1" w:color="auto"/>
        </w:pBdr>
        <w:shd w:val="clear" w:color="auto" w:fill="FFFFFF"/>
        <w:jc w:val="both"/>
        <w:outlineLvl w:val="0"/>
        <w:rPr>
          <w:rFonts w:ascii="Arial" w:hAnsi="Arial" w:cs="Arial"/>
          <w:color w:val="222222"/>
          <w:sz w:val="21"/>
          <w:szCs w:val="21"/>
          <w:lang w:val="en-GB"/>
        </w:rPr>
      </w:pPr>
    </w:p>
    <w:p w:rsidR="007A7F20" w:rsidRPr="007D4E1A" w:rsidRDefault="007A7F20" w:rsidP="00455740">
      <w:pPr>
        <w:shd w:val="clear" w:color="auto" w:fill="FFFFFF"/>
        <w:jc w:val="both"/>
        <w:outlineLvl w:val="0"/>
        <w:rPr>
          <w:lang w:val="en-GB"/>
        </w:rPr>
      </w:pPr>
    </w:p>
    <w:sectPr w:rsidR="007A7F20" w:rsidRPr="007D4E1A" w:rsidSect="00643A37">
      <w:pgSz w:w="11900" w:h="16840"/>
      <w:pgMar w:top="1440" w:right="1080" w:bottom="1440" w:left="1080" w:header="4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6E" w:rsidRDefault="00F84F6E" w:rsidP="00643A37">
      <w:r>
        <w:separator/>
      </w:r>
    </w:p>
  </w:endnote>
  <w:endnote w:type="continuationSeparator" w:id="0">
    <w:p w:rsidR="00F84F6E" w:rsidRDefault="00F84F6E" w:rsidP="0064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6E" w:rsidRDefault="00F84F6E" w:rsidP="00643A37">
      <w:r>
        <w:separator/>
      </w:r>
    </w:p>
  </w:footnote>
  <w:footnote w:type="continuationSeparator" w:id="0">
    <w:p w:rsidR="00F84F6E" w:rsidRDefault="00F84F6E" w:rsidP="0064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F90"/>
    <w:multiLevelType w:val="hybridMultilevel"/>
    <w:tmpl w:val="0262B13E"/>
    <w:lvl w:ilvl="0" w:tplc="7C843E1C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color w:val="222222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6B6711"/>
    <w:multiLevelType w:val="hybridMultilevel"/>
    <w:tmpl w:val="FB826000"/>
    <w:lvl w:ilvl="0" w:tplc="0CBCD9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66E2"/>
    <w:multiLevelType w:val="hybridMultilevel"/>
    <w:tmpl w:val="FB826000"/>
    <w:lvl w:ilvl="0" w:tplc="0CBCD9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C527E"/>
    <w:multiLevelType w:val="multilevel"/>
    <w:tmpl w:val="FE4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D"/>
    <w:rsid w:val="0003275A"/>
    <w:rsid w:val="0010742C"/>
    <w:rsid w:val="00234561"/>
    <w:rsid w:val="00297831"/>
    <w:rsid w:val="002D5AFD"/>
    <w:rsid w:val="00416A38"/>
    <w:rsid w:val="00455740"/>
    <w:rsid w:val="005E087C"/>
    <w:rsid w:val="005E3FF2"/>
    <w:rsid w:val="00643A37"/>
    <w:rsid w:val="006512EA"/>
    <w:rsid w:val="00680E3C"/>
    <w:rsid w:val="006C2D0F"/>
    <w:rsid w:val="006C3CBD"/>
    <w:rsid w:val="00745730"/>
    <w:rsid w:val="0074608D"/>
    <w:rsid w:val="007A19F7"/>
    <w:rsid w:val="007A7F20"/>
    <w:rsid w:val="007D4E1A"/>
    <w:rsid w:val="008D2420"/>
    <w:rsid w:val="00994B36"/>
    <w:rsid w:val="009C08E9"/>
    <w:rsid w:val="00AB6E34"/>
    <w:rsid w:val="00AF6A29"/>
    <w:rsid w:val="00B866AE"/>
    <w:rsid w:val="00BA28EF"/>
    <w:rsid w:val="00C40933"/>
    <w:rsid w:val="00E33B4A"/>
    <w:rsid w:val="00F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5486E"/>
  <w15:chartTrackingRefBased/>
  <w15:docId w15:val="{1C02F439-B14C-1244-872B-D7237EA1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1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D5A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A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5AFD"/>
    <w:rPr>
      <w:color w:val="0000FF"/>
      <w:u w:val="single"/>
    </w:rPr>
  </w:style>
  <w:style w:type="character" w:customStyle="1" w:styleId="ico">
    <w:name w:val="ico"/>
    <w:basedOn w:val="Policepardfaut"/>
    <w:rsid w:val="002D5AFD"/>
  </w:style>
  <w:style w:type="character" w:customStyle="1" w:styleId="txt">
    <w:name w:val="txt"/>
    <w:basedOn w:val="Policepardfaut"/>
    <w:rsid w:val="002D5AFD"/>
  </w:style>
  <w:style w:type="paragraph" w:styleId="Paragraphedeliste">
    <w:name w:val="List Paragraph"/>
    <w:basedOn w:val="Normal"/>
    <w:uiPriority w:val="34"/>
    <w:qFormat/>
    <w:rsid w:val="007460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43A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A37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3A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A37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CEW &amp; Partners</dc:creator>
  <cp:keywords/>
  <dc:description/>
  <cp:lastModifiedBy>CEW &amp; Partners</cp:lastModifiedBy>
  <cp:revision>17</cp:revision>
  <dcterms:created xsi:type="dcterms:W3CDTF">2019-07-24T12:55:00Z</dcterms:created>
  <dcterms:modified xsi:type="dcterms:W3CDTF">2019-07-24T14:51:00Z</dcterms:modified>
</cp:coreProperties>
</file>